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682A58" w:rsidRPr="00E46F20" w:rsidTr="003A05CC">
        <w:tc>
          <w:tcPr>
            <w:tcW w:w="4820" w:type="dxa"/>
            <w:hideMark/>
          </w:tcPr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Додаток </w:t>
            </w:r>
            <w:r w:rsidR="00933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Затверджено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Наказом керівника апарату Шевченківського районного суду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м. Запоріжжя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від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.0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.2021 року №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</w:t>
            </w:r>
            <w:r w:rsidR="0053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-К/К</w:t>
            </w:r>
          </w:p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1" w:name="n195"/>
      <w:bookmarkEnd w:id="1"/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УМОВИ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проведення конкурсу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на зайняття вакантної посади державної служби категорії «В» –</w:t>
      </w:r>
    </w:p>
    <w:p w:rsidR="00682A58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секретаря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судового засідання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Шевченківського районного суду м. Запоріжжя</w:t>
      </w:r>
    </w:p>
    <w:p w:rsidR="00682A58" w:rsidRPr="00E46F20" w:rsidRDefault="009330F0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(третя</w:t>
      </w:r>
      <w:r w:rsidR="00682A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 вакансія)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13"/>
        <w:gridCol w:w="1467"/>
        <w:gridCol w:w="6126"/>
      </w:tblGrid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та розміщення списків справ, призначених до розгляду.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Перевіряє наявність і з'ясовує причини відсутності осіб, яких викликано до суду, і доповідає про це головуючому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перевірку осіб, які викликані в судове засідання, та зазначає на повістках час перебування в суді.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Забезпечує фіксування судового засідання технічними засобами згідно з Інструкцією про порядок фіксування судового процесу технічними засобами.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поточний контроль якості звуку і відео та контроль працездатності технічних засобів відеозапису шляхом спостереження за їх роботою під час відеоконференції.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Веде журнал судового засідання, протокол судового засідання.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Вносить достовірні відомості до Автоматизованої системи документообігу суду відповідно до наданих йому прав та функціональних обов’язків про розгляд справ та матеріалів, які знаходяться у провадженні судді.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Виготовляє копії судових рішень у справах, які знаходяться в провадженні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Готує виконавчі листи у справах, за якими передбачено негайне виконання.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Оформлює матеріали судових справ і здійснює передачу 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справ до канцелярії суду.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Виступає користувачем автоматизованої системи документообігу Шевченківського районного суду м. Запоріжжя, відповідно до прав та обов’язків, визначених наказом керівника апарату суду. 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інші доручення судді, керівника апарату суду, його заступника,  що стосуються організації розгляду судових справ, надані на підставі та у межах повноважень, передбачених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виконання своїх посадових обов’язків зобов’язана дотримуватись Конституції та законів України, діяти лише на підставі, в межах повноважень та у спосіб, що передбачені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Дотримуватися принципів державної служби та правил етичної поведінки.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Поважати гідність людини, не допускати порушення прав і свобод людини та громадянина.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зв’язку зі службовою необхідністю, завдання та посадові обов’язки можуть бути змінені або доповнені, відповідним наказом керівника апарату суду.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AE0" w:rsidRPr="00510AE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посадовий оклад згідно зі штатним розписом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грн.; </w:t>
            </w:r>
          </w:p>
          <w:p w:rsidR="00682A58" w:rsidRPr="00E46F2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надбавки, виплати, премії відповідно до статей 50, 52 Закону України  від 10 грудня 2015 року № 889-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державну службу»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2A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ачення безстрокове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Особа, яка бажає взяти участь у конкурсі, подає  конкурсній комісії </w:t>
            </w: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через Єдиний портал вакансій державної служби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таку інформацію:</w:t>
            </w:r>
          </w:p>
          <w:p w:rsidR="00682A58" w:rsidRPr="005364D0" w:rsidRDefault="00682A58" w:rsidP="003A05CC">
            <w:pPr>
              <w:numPr>
                <w:ilvl w:val="0"/>
                <w:numId w:val="3"/>
              </w:numPr>
              <w:spacing w:after="0" w:line="240" w:lineRule="auto"/>
              <w:ind w:left="2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заяву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Pr="005364D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додатком 2</w:t>
              </w:r>
            </w:hyperlink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Порядку проведення конкурсу на зайняття посад державної служби ( далі – Порядку);</w:t>
            </w:r>
          </w:p>
          <w:p w:rsidR="00682A58" w:rsidRPr="005364D0" w:rsidRDefault="00682A58" w:rsidP="003A05C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резюме за формою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додатком 2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5364D0">
              <w:rPr>
                <w:rFonts w:ascii="Times New Roman" w:eastAsia="Times New Roman" w:hAnsi="Times New Roman" w:cs="Times New Roman"/>
                <w:sz w:val="2"/>
                <w:szCs w:val="2"/>
                <w:vertAlign w:val="superscript"/>
                <w:lang w:val="uk-UA" w:eastAsia="ru-RU"/>
              </w:rPr>
              <w:t>11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Порядку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якому обов’язково зазначається така інформація: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реквізити документа, що посвідчує особу та підтверджує громадянство України;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рівня вільного володіння державною мовою;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Подача додатків до заяви не є обов’язковою.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  <w:p w:rsidR="00682A58" w:rsidRPr="005364D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10AE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 подання документів: до 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16-00 год. </w:t>
            </w:r>
            <w:r w:rsidR="00510AE0"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08 червня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2021 року.</w:t>
            </w:r>
          </w:p>
          <w:p w:rsidR="00682A58" w:rsidRPr="005364D0" w:rsidRDefault="00682A58" w:rsidP="003A05CC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76"/>
            <w:bookmarkEnd w:id="3"/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510AE0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червня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року о 09-30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год., 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Шевченківський районний суд м. Запоріжжя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№ 28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Запоріжжя, вул. Чарівна, 177-А </w:t>
            </w:r>
          </w:p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керівника апарату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Лазоренко Юлія Миколаївна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Телефонний зв’язок в суді відсутній </w:t>
            </w:r>
          </w:p>
          <w:p w:rsidR="00682A58" w:rsidRPr="00E46F20" w:rsidRDefault="008E68ED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682A58" w:rsidRPr="00354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inbox@sh.zp.court.gov.ua</w:t>
              </w:r>
            </w:hyperlink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вища, не нижче ступеня молодшого бакалавра або бакалавра,  за спеціальністю «Право», «Правознавство» або «Правоохоронна діяльність»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вирішувати  комплексні завдання;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підготовка документів відповідно до вимог і термінів;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вміння надавати пропозиції щодо поліпшення організації роботи.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 вміння працювати в команді;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ефективної взаємодії з іншими;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дотримання субординації;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clear" w:pos="530"/>
                <w:tab w:val="num" w:pos="29"/>
                <w:tab w:val="num" w:pos="170"/>
              </w:tabs>
              <w:spacing w:after="0" w:line="240" w:lineRule="auto"/>
              <w:ind w:left="29" w:right="284" w:firstLine="14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сприймати зміни та змінюватись;</w:t>
            </w:r>
          </w:p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num" w:pos="29"/>
              </w:tabs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відкритість до нових знань, прагнення саморозвитку;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використовувати комп'ютерне обладнання </w:t>
            </w: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програмне забезпечення, використовувати офісну техніку;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Особистісні компетенції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1) відповідальність;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n110"/>
            <w:bookmarkEnd w:id="4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2) системність і самостійність в роботі;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n111"/>
            <w:bookmarkEnd w:id="5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3) уважність до деталей;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n115"/>
            <w:bookmarkStart w:id="7" w:name="n114"/>
            <w:bookmarkStart w:id="8" w:name="n113"/>
            <w:bookmarkStart w:id="9" w:name="n112"/>
            <w:bookmarkEnd w:id="6"/>
            <w:bookmarkEnd w:id="7"/>
            <w:bookmarkEnd w:id="8"/>
            <w:bookmarkEnd w:id="9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4) орієнтація на обслуговування;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0" w:name="n116"/>
            <w:bookmarkEnd w:id="10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5) вміння працювати в стресових ситуаціях;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6) аналітичне мислення.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8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Конституції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державну службу”;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1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запобігання корупції”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іншого законодавства</w:t>
            </w: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{Пункт 2 виключено на підставі Постанови КМ </w:t>
            </w:r>
            <w:hyperlink r:id="rId11" w:anchor="n75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}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Закони України «Про судоустрій і статус суддів», «Про запобігання корупції», «Про виконавче провадження», «Про 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Кодекс законів про працю України, Цивільний кодекс України, Кримінальний кодекс України, відповідні процесуальні кодекси України; Кодекс адміністративного судочинства України; Кодекс України про адміністративні правопорушення;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Акти Президента України та Кабінету Міністрів України, інші нормативно-правові акти України у сфері організації діловодства, архівної роботи судових органів; 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з діловодства у місцевих та апеляційних судах України, затвердженої наказом Державної судової адміністрації України;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Положення про автоматизовану систему документообігу суду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про порядок роботи з технічними засобами фіксування судового процесу (судового засідання);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Інструкція про порядок роботи з технічними засобами відеозапису ходу і результатів процесуальних дій проведених у режимі відеоконференції під час судового засідання (кримінального провадження) </w:t>
            </w:r>
          </w:p>
        </w:tc>
      </w:tr>
      <w:tr w:rsidR="00682A58" w:rsidRPr="00510AE0" w:rsidTr="003A05CC">
        <w:trPr>
          <w:trHeight w:val="419"/>
        </w:trPr>
        <w:tc>
          <w:tcPr>
            <w:tcW w:w="17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11" w:name="n767"/>
            <w:bookmarkEnd w:id="11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Примітка.</w:t>
            </w:r>
          </w:p>
        </w:tc>
        <w:tc>
          <w:tcPr>
            <w:tcW w:w="7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Кількість вимог, які зазначаються в умовах проведення конкурсу, визначається суб’єктом призначення.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вакантної посади </w:t>
            </w:r>
            <w:hyperlink r:id="rId12" w:anchor="n8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зазначаються відомості відповідно до </w:t>
            </w:r>
            <w:hyperlink r:id="rId13" w:anchor="n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Типових вимог до осіб, які претендують на зайняття посад державної служби 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затверджених постановою Кабінету Міністрів України від 22 липня 2016 р. № 448 (Офіційний вісник України, 2016 р., № 59, ст. 2026).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Пункт 4 розділу “Кваліфікаційні вимоги” зазначається у разі оголошення конкурсу на зайняття вакантної посади категорії “А”.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вакантних посад </w:t>
            </w:r>
            <w:hyperlink r:id="rId14" w:anchor="n8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 xml:space="preserve">категорій </w:t>
              </w:r>
              <w:proofErr w:type="spellStart"/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“Б”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і </w:t>
            </w:r>
            <w:hyperlink r:id="rId15" w:anchor="n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“В”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загальні вимоги відповідно до </w:t>
            </w:r>
            <w:hyperlink r:id="rId1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“Про державну службу” та спеціальні вимоги, які визначаються з урахуванням рекомендацій НАДС.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Спеціальні вимоги до освіти та досвіду роботи можуть мати уточнюючий характер щодо галузей знань та/або спеціальностей, за якими здобуто вищу освіту, досвіду роботи у конкретній сфері.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Заповнення розділу “Кваліфікаційні вимоги” та пунктів 1 і 2 розділу “Професійні знання” є 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обов’язковими під час визначення умов проведення конкурсу.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Зазначаються загальні вимоги відповідно до </w:t>
            </w:r>
            <w:hyperlink r:id="rId17" w:anchor="n277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першої статті 19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та </w:t>
            </w:r>
            <w:hyperlink r:id="rId18" w:anchor="n2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другої статті 20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Закону України “Про державну службу”. У разі наявності спеціальних вимог зазначаються лише спеціальні вимоги.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восьмий примітки виключено на підставі Постанови КМ </w:t>
            </w:r>
            <w:hyperlink r:id="rId19" w:anchor="n48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903 від 03.11.2019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дев'ятий примітки виключено на підставі Постанови КМ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hyperlink r:id="rId20" w:anchor="n76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</w:p>
        </w:tc>
      </w:tr>
      <w:tr w:rsidR="00682A58" w:rsidRPr="00510AE0" w:rsidTr="003A05CC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143" w:line="240" w:lineRule="auto"/>
        <w:ind w:firstLine="4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2" w:name="n568"/>
      <w:bookmarkEnd w:id="12"/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lastRenderedPageBreak/>
        <w:t>{Додаток 1 в редакції Постанов КМ </w:t>
      </w:r>
      <w:hyperlink r:id="rId21" w:anchor="n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648 від 18.08.2017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2" w:anchor="n71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815 від 25.10.2017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; із змінами, внесеними згідно з Постановами КМ </w:t>
      </w:r>
      <w:hyperlink r:id="rId23" w:anchor="n10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374 від 10.05.2018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4" w:anchor="n11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462 від 05.06.2019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5" w:anchor="n93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844 від 25.09.2019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6" w:anchor="n87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888 від 28.10.2019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7" w:anchor="n44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903 від 03.11.2019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8" w:anchor="n7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98 від 12.02.2020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9" w:anchor="n10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1139 від 18.11.2020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}</w:t>
      </w:r>
    </w:p>
    <w:p w:rsidR="00682A58" w:rsidRPr="00E46F20" w:rsidRDefault="00682A58" w:rsidP="00682A58">
      <w:pPr>
        <w:spacing w:after="0" w:line="180" w:lineRule="exact"/>
        <w:ind w:left="7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82A58" w:rsidRPr="00E46F20" w:rsidRDefault="00682A58" w:rsidP="00682A58">
      <w:pPr>
        <w:rPr>
          <w:lang w:val="uk-UA"/>
        </w:rPr>
      </w:pPr>
    </w:p>
    <w:p w:rsidR="00235FD3" w:rsidRPr="00682A58" w:rsidRDefault="00235FD3">
      <w:pPr>
        <w:rPr>
          <w:lang w:val="uk-UA"/>
        </w:rPr>
      </w:pPr>
    </w:p>
    <w:sectPr w:rsidR="00235FD3" w:rsidRPr="00682A58" w:rsidSect="00E4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B30"/>
    <w:multiLevelType w:val="hybridMultilevel"/>
    <w:tmpl w:val="9A6E1954"/>
    <w:lvl w:ilvl="0" w:tplc="225685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4950EE"/>
    <w:multiLevelType w:val="hybridMultilevel"/>
    <w:tmpl w:val="D102D254"/>
    <w:lvl w:ilvl="0" w:tplc="42F29EC8">
      <w:start w:val="1"/>
      <w:numFmt w:val="decimal"/>
      <w:lvlText w:val="%1)"/>
      <w:lvlJc w:val="left"/>
      <w:pPr>
        <w:tabs>
          <w:tab w:val="num" w:pos="554"/>
        </w:tabs>
        <w:ind w:left="554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4218"/>
    <w:multiLevelType w:val="hybridMultilevel"/>
    <w:tmpl w:val="F6AE08E8"/>
    <w:lvl w:ilvl="0" w:tplc="E756807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2"/>
    <w:rsid w:val="00235FD3"/>
    <w:rsid w:val="00510AE0"/>
    <w:rsid w:val="005364D0"/>
    <w:rsid w:val="00682A58"/>
    <w:rsid w:val="008E68ED"/>
    <w:rsid w:val="009330F0"/>
    <w:rsid w:val="00B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448-2016-%D0%BF" TargetMode="External"/><Relationship Id="rId18" Type="http://schemas.openxmlformats.org/officeDocument/2006/relationships/hyperlink" Target="https://zakon.rada.gov.ua/laws/show/889-19" TargetMode="External"/><Relationship Id="rId26" Type="http://schemas.openxmlformats.org/officeDocument/2006/relationships/hyperlink" Target="https://zakon.rada.gov.ua/laws/show/888-2019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648-2017-%D0%BF" TargetMode="External"/><Relationship Id="rId7" Type="http://schemas.openxmlformats.org/officeDocument/2006/relationships/hyperlink" Target="mailto:inbox@sh.zp.court.gov.ua" TargetMode="Externa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889-19" TargetMode="External"/><Relationship Id="rId25" Type="http://schemas.openxmlformats.org/officeDocument/2006/relationships/hyperlink" Target="https://zakon.rada.gov.ua/laws/show/844-201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hyperlink" Target="https://zakon.rada.gov.ua/laws/show/98-2020-%D0%BF" TargetMode="External"/><Relationship Id="rId29" Type="http://schemas.openxmlformats.org/officeDocument/2006/relationships/hyperlink" Target="https://zakon.rada.gov.ua/laws/show/1139-2020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laws/show/98-2020-%D0%BF" TargetMode="External"/><Relationship Id="rId24" Type="http://schemas.openxmlformats.org/officeDocument/2006/relationships/hyperlink" Target="https://zakon.rada.gov.ua/laws/show/462-2019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23" Type="http://schemas.openxmlformats.org/officeDocument/2006/relationships/hyperlink" Target="https://zakon.rada.gov.ua/laws/show/374-2018-%D0%BF" TargetMode="External"/><Relationship Id="rId28" Type="http://schemas.openxmlformats.org/officeDocument/2006/relationships/hyperlink" Target="https://zakon.rada.gov.ua/laws/show/98-2020-%D0%BF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903-2019-%D0%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yperlink" Target="https://zakon.rada.gov.ua/laws/show/889-19" TargetMode="External"/><Relationship Id="rId22" Type="http://schemas.openxmlformats.org/officeDocument/2006/relationships/hyperlink" Target="https://zakon.rada.gov.ua/laws/show/815-2017-%D0%BF" TargetMode="External"/><Relationship Id="rId27" Type="http://schemas.openxmlformats.org/officeDocument/2006/relationships/hyperlink" Target="https://zakon.rada.gov.ua/laws/show/903-2019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Лазоренко.Юлия</dc:creator>
  <cp:lastModifiedBy>Алейникова.Наталья</cp:lastModifiedBy>
  <cp:revision>2</cp:revision>
  <dcterms:created xsi:type="dcterms:W3CDTF">2021-05-24T11:29:00Z</dcterms:created>
  <dcterms:modified xsi:type="dcterms:W3CDTF">2021-05-24T11:29:00Z</dcterms:modified>
</cp:coreProperties>
</file>